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37" w:rsidRPr="00DF094F" w:rsidRDefault="00762237" w:rsidP="00762237">
      <w:pPr>
        <w:jc w:val="center"/>
        <w:rPr>
          <w:rFonts w:ascii="仿宋" w:eastAsia="仿宋" w:hAnsi="仿宋" w:hint="eastAsia"/>
          <w:b/>
          <w:sz w:val="28"/>
          <w:szCs w:val="28"/>
        </w:rPr>
      </w:pPr>
      <w:proofErr w:type="gramStart"/>
      <w:r w:rsidRPr="00DF094F">
        <w:rPr>
          <w:rFonts w:ascii="仿宋" w:eastAsia="仿宋" w:hAnsi="仿宋" w:hint="eastAsia"/>
          <w:b/>
          <w:sz w:val="28"/>
          <w:szCs w:val="28"/>
        </w:rPr>
        <w:t>“</w:t>
      </w:r>
      <w:proofErr w:type="gramEnd"/>
      <w:r w:rsidRPr="00DF094F">
        <w:rPr>
          <w:rFonts w:ascii="仿宋" w:eastAsia="仿宋" w:hAnsi="仿宋" w:hint="eastAsia"/>
          <w:b/>
          <w:sz w:val="28"/>
          <w:szCs w:val="28"/>
        </w:rPr>
        <w:t>人参“教学设计案例说明</w:t>
      </w:r>
    </w:p>
    <w:tbl>
      <w:tblPr>
        <w:tblStyle w:val="a3"/>
        <w:tblpPr w:leftFromText="180" w:rightFromText="180" w:vertAnchor="text" w:horzAnchor="margin" w:tblpY="99"/>
        <w:tblW w:w="8931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8"/>
        <w:gridCol w:w="3402"/>
      </w:tblGrid>
      <w:tr w:rsidR="00762237" w:rsidTr="00762237">
        <w:trPr>
          <w:trHeight w:val="841"/>
        </w:trPr>
        <w:tc>
          <w:tcPr>
            <w:tcW w:w="1276" w:type="dxa"/>
            <w:vAlign w:val="center"/>
          </w:tcPr>
          <w:p w:rsidR="00762237" w:rsidRPr="00222F75" w:rsidRDefault="00762237" w:rsidP="007622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相关</w:t>
            </w:r>
            <w:r w:rsidRPr="00222F75">
              <w:rPr>
                <w:rFonts w:ascii="黑体" w:eastAsia="黑体" w:hAnsi="黑体"/>
                <w:sz w:val="24"/>
                <w:szCs w:val="24"/>
              </w:rPr>
              <w:t>章节</w:t>
            </w:r>
          </w:p>
        </w:tc>
        <w:tc>
          <w:tcPr>
            <w:tcW w:w="1418" w:type="dxa"/>
            <w:vAlign w:val="center"/>
          </w:tcPr>
          <w:p w:rsidR="00762237" w:rsidRPr="00222F75" w:rsidRDefault="00762237" w:rsidP="007622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专业知识点</w:t>
            </w:r>
          </w:p>
        </w:tc>
        <w:tc>
          <w:tcPr>
            <w:tcW w:w="1417" w:type="dxa"/>
            <w:vAlign w:val="center"/>
          </w:tcPr>
          <w:p w:rsidR="00762237" w:rsidRPr="00222F75" w:rsidRDefault="00762237" w:rsidP="007622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222F75">
              <w:rPr>
                <w:rFonts w:ascii="黑体" w:eastAsia="黑体" w:hAnsi="黑体"/>
                <w:sz w:val="24"/>
                <w:szCs w:val="24"/>
              </w:rPr>
              <w:t>思政元素</w:t>
            </w:r>
            <w:proofErr w:type="gramEnd"/>
          </w:p>
        </w:tc>
        <w:tc>
          <w:tcPr>
            <w:tcW w:w="1418" w:type="dxa"/>
            <w:vAlign w:val="center"/>
          </w:tcPr>
          <w:p w:rsidR="00762237" w:rsidRPr="00222F75" w:rsidRDefault="00762237" w:rsidP="007622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教学方法</w:t>
            </w:r>
          </w:p>
        </w:tc>
        <w:tc>
          <w:tcPr>
            <w:tcW w:w="3402" w:type="dxa"/>
            <w:vAlign w:val="center"/>
          </w:tcPr>
          <w:p w:rsidR="00762237" w:rsidRPr="00222F75" w:rsidRDefault="00762237" w:rsidP="00A83A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内容简介</w:t>
            </w:r>
            <w:r w:rsidRPr="00381611">
              <w:rPr>
                <w:rFonts w:ascii="仿宋" w:eastAsia="仿宋" w:hAnsi="仿宋" w:hint="eastAsia"/>
                <w:sz w:val="24"/>
                <w:szCs w:val="24"/>
              </w:rPr>
              <w:t>（详见</w:t>
            </w:r>
            <w:r w:rsidRPr="00381611">
              <w:rPr>
                <w:rFonts w:ascii="仿宋" w:eastAsia="仿宋" w:hAnsi="仿宋"/>
                <w:sz w:val="24"/>
                <w:szCs w:val="24"/>
              </w:rPr>
              <w:t>说明</w:t>
            </w:r>
            <w:r w:rsidRPr="00F2514D">
              <w:rPr>
                <w:rFonts w:ascii="黑体" w:eastAsia="黑体" w:hAnsi="黑体" w:hint="eastAsia"/>
                <w:szCs w:val="21"/>
              </w:rPr>
              <w:t>＊</w:t>
            </w:r>
            <w:r w:rsidRPr="00381611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762237" w:rsidTr="00762237">
        <w:trPr>
          <w:trHeight w:val="554"/>
        </w:trPr>
        <w:tc>
          <w:tcPr>
            <w:tcW w:w="1276" w:type="dxa"/>
            <w:vAlign w:val="center"/>
          </w:tcPr>
          <w:p w:rsidR="00762237" w:rsidRPr="00097D51" w:rsidRDefault="00762237" w:rsidP="00762237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第五章第二节</w:t>
            </w:r>
          </w:p>
        </w:tc>
        <w:tc>
          <w:tcPr>
            <w:tcW w:w="1418" w:type="dxa"/>
            <w:vAlign w:val="center"/>
          </w:tcPr>
          <w:p w:rsidR="00762237" w:rsidRPr="00097D51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人参的性状鉴别</w:t>
            </w:r>
          </w:p>
        </w:tc>
        <w:tc>
          <w:tcPr>
            <w:tcW w:w="1417" w:type="dxa"/>
            <w:vAlign w:val="center"/>
          </w:tcPr>
          <w:p w:rsidR="00762237" w:rsidRPr="00097D51" w:rsidRDefault="00DF094F" w:rsidP="0076223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学习人参“一参正气”做专业鉴定人</w:t>
            </w:r>
          </w:p>
        </w:tc>
        <w:tc>
          <w:tcPr>
            <w:tcW w:w="1418" w:type="dxa"/>
            <w:vAlign w:val="center"/>
          </w:tcPr>
          <w:p w:rsidR="00762237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2237" w:rsidRDefault="00DF094F" w:rsidP="0076223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云课堂</w:t>
            </w:r>
          </w:p>
          <w:p w:rsidR="00762237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2237" w:rsidRPr="00097D51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62237" w:rsidRPr="00097D51" w:rsidRDefault="00DF094F" w:rsidP="00DF09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人参的性状鉴定（人形的美，进而引</w:t>
            </w:r>
            <w:r w:rsidRPr="00DF094F">
              <w:rPr>
                <w:rFonts w:ascii="仿宋" w:eastAsia="仿宋" w:hAnsi="仿宋" w:hint="eastAsia"/>
                <w:sz w:val="24"/>
                <w:szCs w:val="24"/>
              </w:rPr>
              <w:t>导学生要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“一参正气”</w:t>
            </w:r>
            <w:r w:rsidRPr="00DF094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做</w:t>
            </w:r>
            <w:r w:rsidRPr="00DF094F">
              <w:rPr>
                <w:rFonts w:ascii="仿宋" w:eastAsia="仿宋" w:hAnsi="仿宋" w:hint="eastAsia"/>
                <w:sz w:val="24"/>
                <w:szCs w:val="24"/>
              </w:rPr>
              <w:t>专业鉴定人以及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培养其</w:t>
            </w:r>
            <w:r w:rsidRPr="00DF094F">
              <w:rPr>
                <w:rFonts w:ascii="仿宋" w:eastAsia="仿宋" w:hAnsi="仿宋" w:hint="eastAsia"/>
                <w:sz w:val="24"/>
                <w:szCs w:val="24"/>
              </w:rPr>
              <w:t>爱国情怀等）</w:t>
            </w:r>
          </w:p>
        </w:tc>
      </w:tr>
      <w:tr w:rsidR="00762237" w:rsidTr="00762237">
        <w:trPr>
          <w:trHeight w:val="1570"/>
        </w:trPr>
        <w:tc>
          <w:tcPr>
            <w:tcW w:w="1276" w:type="dxa"/>
            <w:vAlign w:val="center"/>
          </w:tcPr>
          <w:p w:rsidR="00762237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  <w:r w:rsidRPr="006B71ED">
              <w:rPr>
                <w:rFonts w:ascii="黑体" w:eastAsia="黑体" w:hAnsi="黑体"/>
                <w:sz w:val="24"/>
                <w:szCs w:val="24"/>
              </w:rPr>
              <w:t>成效</w:t>
            </w:r>
            <w:r>
              <w:rPr>
                <w:rFonts w:ascii="黑体" w:eastAsia="黑体" w:hAnsi="黑体"/>
                <w:sz w:val="24"/>
                <w:szCs w:val="24"/>
              </w:rPr>
              <w:t>评价</w:t>
            </w:r>
          </w:p>
        </w:tc>
        <w:tc>
          <w:tcPr>
            <w:tcW w:w="7655" w:type="dxa"/>
            <w:gridSpan w:val="4"/>
            <w:vAlign w:val="center"/>
          </w:tcPr>
          <w:p w:rsidR="00762237" w:rsidRDefault="00DF094F" w:rsidP="0076223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学生写关于人参的感悟。</w:t>
            </w:r>
            <w:r w:rsidR="00A83AB2">
              <w:rPr>
                <w:rFonts w:ascii="仿宋" w:eastAsia="仿宋" w:hAnsi="仿宋" w:hint="eastAsia"/>
                <w:sz w:val="24"/>
                <w:szCs w:val="24"/>
              </w:rPr>
              <w:t>通过学生的感悟，可以看出学生领会到了人参形成的难得、要保护自然、对自然心存敬畏以及“一参正气”的意义，通过真伪鉴别领会到专业鉴定人的责任与担当。通过与国外红参比较，领会到中药需要走向世界还有很长的路，要努力要奋斗！</w:t>
            </w:r>
          </w:p>
          <w:p w:rsidR="00762237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2237" w:rsidRPr="00097D51" w:rsidRDefault="00762237" w:rsidP="0076223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62237" w:rsidRPr="00C16FBF" w:rsidRDefault="00A83AB2">
      <w:pPr>
        <w:rPr>
          <w:rFonts w:ascii="仿宋" w:eastAsia="仿宋" w:hAnsi="仿宋" w:hint="eastAsia"/>
          <w:b/>
          <w:sz w:val="24"/>
          <w:szCs w:val="24"/>
        </w:rPr>
      </w:pPr>
      <w:r w:rsidRPr="00C16FBF">
        <w:rPr>
          <w:rFonts w:ascii="仿宋" w:eastAsia="仿宋" w:hAnsi="仿宋" w:hint="eastAsia"/>
          <w:b/>
          <w:sz w:val="24"/>
          <w:szCs w:val="24"/>
        </w:rPr>
        <w:t>设计说明：</w:t>
      </w:r>
    </w:p>
    <w:p w:rsidR="00C16FBF" w:rsidRDefault="00E93179" w:rsidP="0016398E">
      <w:pPr>
        <w:spacing w:line="30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proofErr w:type="gramStart"/>
      <w:r>
        <w:rPr>
          <w:rFonts w:ascii="仿宋_GB2312" w:eastAsia="仿宋_GB2312" w:hint="eastAsia"/>
          <w:sz w:val="24"/>
          <w:szCs w:val="24"/>
        </w:rPr>
        <w:t>思政元素</w:t>
      </w:r>
      <w:proofErr w:type="gramEnd"/>
      <w:r>
        <w:rPr>
          <w:rFonts w:ascii="仿宋_GB2312" w:eastAsia="仿宋_GB2312" w:hint="eastAsia"/>
          <w:sz w:val="24"/>
          <w:szCs w:val="24"/>
        </w:rPr>
        <w:t>的融入点：</w:t>
      </w:r>
      <w:r w:rsidR="00C16FBF">
        <w:rPr>
          <w:rFonts w:ascii="仿宋_GB2312" w:eastAsia="仿宋_GB2312" w:hint="eastAsia"/>
          <w:sz w:val="24"/>
          <w:szCs w:val="24"/>
        </w:rPr>
        <w:t>根据</w:t>
      </w:r>
      <w:r w:rsidR="00C16FBF" w:rsidRPr="00C16FBF">
        <w:rPr>
          <w:rFonts w:ascii="仿宋_GB2312" w:eastAsia="仿宋_GB2312" w:hint="eastAsia"/>
          <w:sz w:val="24"/>
          <w:szCs w:val="24"/>
        </w:rPr>
        <w:t>人参的性状鉴定</w:t>
      </w:r>
      <w:r w:rsidR="00C16FBF">
        <w:rPr>
          <w:rFonts w:ascii="仿宋_GB2312" w:eastAsia="仿宋_GB2312" w:hint="eastAsia"/>
          <w:sz w:val="24"/>
          <w:szCs w:val="24"/>
        </w:rPr>
        <w:t>的内容中人参的“人”形，人参的形态及产地等内容融入如何做人</w:t>
      </w:r>
      <w:proofErr w:type="gramStart"/>
      <w:r w:rsidR="00C16FBF">
        <w:rPr>
          <w:rFonts w:ascii="仿宋_GB2312" w:eastAsia="仿宋_GB2312" w:hint="eastAsia"/>
          <w:sz w:val="24"/>
          <w:szCs w:val="24"/>
        </w:rPr>
        <w:t>的思政元素</w:t>
      </w:r>
      <w:proofErr w:type="gramEnd"/>
      <w:r w:rsidR="00C16FBF">
        <w:rPr>
          <w:rFonts w:ascii="仿宋_GB2312" w:eastAsia="仿宋_GB2312" w:hint="eastAsia"/>
          <w:sz w:val="24"/>
          <w:szCs w:val="24"/>
        </w:rPr>
        <w:t>，引导学生“一参正气”</w:t>
      </w:r>
      <w:r w:rsidR="00742BE5">
        <w:rPr>
          <w:rFonts w:ascii="仿宋_GB2312" w:eastAsia="仿宋_GB2312" w:hint="eastAsia"/>
          <w:sz w:val="24"/>
          <w:szCs w:val="24"/>
        </w:rPr>
        <w:t>，引领</w:t>
      </w:r>
      <w:r w:rsidR="0016398E">
        <w:rPr>
          <w:rFonts w:ascii="仿宋_GB2312" w:eastAsia="仿宋_GB2312" w:hint="eastAsia"/>
          <w:sz w:val="24"/>
          <w:szCs w:val="24"/>
        </w:rPr>
        <w:t>学生们</w:t>
      </w:r>
      <w:r w:rsidR="00742BE5">
        <w:rPr>
          <w:rFonts w:ascii="仿宋_GB2312" w:eastAsia="仿宋_GB2312" w:hint="eastAsia"/>
          <w:sz w:val="24"/>
          <w:szCs w:val="24"/>
        </w:rPr>
        <w:t>建立正确的价值观</w:t>
      </w:r>
      <w:r w:rsidR="00C16FBF">
        <w:rPr>
          <w:rFonts w:ascii="仿宋_GB2312" w:eastAsia="仿宋_GB2312" w:hint="eastAsia"/>
          <w:sz w:val="24"/>
          <w:szCs w:val="24"/>
        </w:rPr>
        <w:t>；在人参以及其常见伪品的真伪鉴别部分融入培养专业担当与自信</w:t>
      </w:r>
      <w:proofErr w:type="gramStart"/>
      <w:r w:rsidR="00C16FBF">
        <w:rPr>
          <w:rFonts w:ascii="仿宋_GB2312" w:eastAsia="仿宋_GB2312" w:hint="eastAsia"/>
          <w:sz w:val="24"/>
          <w:szCs w:val="24"/>
        </w:rPr>
        <w:t>的思政元素</w:t>
      </w:r>
      <w:proofErr w:type="gramEnd"/>
      <w:r w:rsidR="00C16FBF">
        <w:rPr>
          <w:rFonts w:ascii="仿宋_GB2312" w:eastAsia="仿宋_GB2312" w:hint="eastAsia"/>
          <w:sz w:val="24"/>
          <w:szCs w:val="24"/>
        </w:rPr>
        <w:t>，引导学生热爱专业，做专业鉴定人；在人参与红参</w:t>
      </w:r>
      <w:r w:rsidR="0016398E">
        <w:rPr>
          <w:rFonts w:ascii="仿宋_GB2312" w:eastAsia="仿宋_GB2312" w:hint="eastAsia"/>
          <w:sz w:val="24"/>
          <w:szCs w:val="24"/>
        </w:rPr>
        <w:t>等</w:t>
      </w:r>
      <w:r w:rsidR="00C16FBF">
        <w:rPr>
          <w:rFonts w:ascii="仿宋_GB2312" w:eastAsia="仿宋_GB2312" w:hint="eastAsia"/>
          <w:sz w:val="24"/>
          <w:szCs w:val="24"/>
        </w:rPr>
        <w:t>部分，突出国产红参质优，融入爱国情怀等</w:t>
      </w:r>
      <w:r>
        <w:rPr>
          <w:rFonts w:ascii="仿宋_GB2312" w:eastAsia="仿宋_GB2312" w:hint="eastAsia"/>
          <w:sz w:val="24"/>
          <w:szCs w:val="24"/>
        </w:rPr>
        <w:t>，引导学生有志于把中药做大做强，走向世界</w:t>
      </w:r>
      <w:r w:rsidR="00C16FBF">
        <w:rPr>
          <w:rFonts w:ascii="仿宋_GB2312" w:eastAsia="仿宋_GB2312" w:hint="eastAsia"/>
          <w:sz w:val="24"/>
          <w:szCs w:val="24"/>
        </w:rPr>
        <w:t>。</w:t>
      </w:r>
    </w:p>
    <w:p w:rsidR="00762237" w:rsidRDefault="00E93179" w:rsidP="0016398E">
      <w:pPr>
        <w:spacing w:line="300" w:lineRule="auto"/>
        <w:ind w:firstLineChars="100" w:firstLine="240"/>
        <w:rPr>
          <w:rFonts w:ascii="仿宋" w:eastAsia="仿宋" w:hAnsi="仿宋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授课形式：</w:t>
      </w:r>
      <w:r w:rsidR="00C16FBF">
        <w:rPr>
          <w:rFonts w:ascii="仿宋_GB2312" w:eastAsia="仿宋_GB2312" w:hint="eastAsia"/>
          <w:sz w:val="24"/>
          <w:szCs w:val="24"/>
        </w:rPr>
        <w:t>采用云课堂</w:t>
      </w:r>
      <w:r w:rsidR="0016398E">
        <w:rPr>
          <w:rFonts w:ascii="仿宋_GB2312" w:eastAsia="仿宋_GB2312" w:hint="eastAsia"/>
          <w:sz w:val="24"/>
          <w:szCs w:val="24"/>
        </w:rPr>
        <w:t>进行</w:t>
      </w:r>
      <w:r w:rsidR="00C16FBF">
        <w:rPr>
          <w:rFonts w:ascii="仿宋_GB2312" w:eastAsia="仿宋_GB2312" w:hint="eastAsia"/>
          <w:sz w:val="24"/>
          <w:szCs w:val="24"/>
        </w:rPr>
        <w:t>教学</w:t>
      </w:r>
      <w:r w:rsidR="00C16FBF" w:rsidRPr="00C16FBF">
        <w:rPr>
          <w:rFonts w:ascii="仿宋" w:eastAsia="仿宋" w:hAnsi="仿宋" w:hint="eastAsia"/>
          <w:sz w:val="24"/>
          <w:szCs w:val="24"/>
        </w:rPr>
        <w:t>，</w:t>
      </w:r>
      <w:r w:rsidR="00C16FBF">
        <w:rPr>
          <w:rFonts w:ascii="仿宋" w:eastAsia="仿宋" w:hAnsi="仿宋" w:hint="eastAsia"/>
          <w:sz w:val="24"/>
          <w:szCs w:val="24"/>
        </w:rPr>
        <w:t>借助</w:t>
      </w:r>
      <w:r w:rsidR="00C16FBF" w:rsidRPr="00C16FBF">
        <w:rPr>
          <w:rFonts w:ascii="仿宋" w:eastAsia="仿宋" w:hAnsi="仿宋" w:hint="eastAsia"/>
          <w:sz w:val="24"/>
          <w:szCs w:val="24"/>
        </w:rPr>
        <w:t>PPT及板书</w:t>
      </w:r>
      <w:r w:rsidR="0016398E">
        <w:rPr>
          <w:rFonts w:ascii="仿宋" w:eastAsia="仿宋" w:hAnsi="仿宋" w:hint="eastAsia"/>
          <w:sz w:val="24"/>
          <w:szCs w:val="24"/>
        </w:rPr>
        <w:t>讲授和</w:t>
      </w:r>
      <w:r w:rsidR="00C16FBF" w:rsidRPr="00C16FBF">
        <w:rPr>
          <w:rFonts w:ascii="仿宋" w:eastAsia="仿宋" w:hAnsi="仿宋" w:hint="eastAsia"/>
          <w:sz w:val="24"/>
          <w:szCs w:val="24"/>
        </w:rPr>
        <w:t>随机提问、小测验及主题讨论等</w:t>
      </w:r>
      <w:r w:rsidR="0016398E">
        <w:rPr>
          <w:rFonts w:ascii="仿宋" w:eastAsia="仿宋" w:hAnsi="仿宋" w:hint="eastAsia"/>
          <w:sz w:val="24"/>
          <w:szCs w:val="24"/>
        </w:rPr>
        <w:t>互动</w:t>
      </w:r>
      <w:r w:rsidR="00C16FBF">
        <w:rPr>
          <w:rFonts w:ascii="仿宋" w:eastAsia="仿宋" w:hAnsi="仿宋" w:hint="eastAsia"/>
          <w:sz w:val="24"/>
          <w:szCs w:val="24"/>
        </w:rPr>
        <w:t>多形式开展教学</w:t>
      </w:r>
      <w:r w:rsidR="00C16FBF" w:rsidRPr="00C16FBF">
        <w:rPr>
          <w:rFonts w:ascii="仿宋" w:eastAsia="仿宋" w:hAnsi="仿宋" w:hint="eastAsia"/>
          <w:sz w:val="24"/>
          <w:szCs w:val="24"/>
        </w:rPr>
        <w:t>。</w:t>
      </w:r>
      <w:r w:rsidR="0016398E">
        <w:rPr>
          <w:rFonts w:ascii="仿宋" w:eastAsia="仿宋" w:hAnsi="仿宋" w:hint="eastAsia"/>
          <w:sz w:val="24"/>
          <w:szCs w:val="24"/>
        </w:rPr>
        <w:t>讲解条理清清晰、重点突出，同时用随机提问、</w:t>
      </w:r>
      <w:r w:rsidR="00742BE5">
        <w:rPr>
          <w:rFonts w:ascii="仿宋" w:eastAsia="仿宋" w:hAnsi="仿宋" w:hint="eastAsia"/>
          <w:sz w:val="24"/>
          <w:szCs w:val="24"/>
        </w:rPr>
        <w:t>小测验及讨论可以检测学生对重点内容的掌握情况。</w:t>
      </w:r>
      <w:r w:rsidR="00A83AB2" w:rsidRPr="00A83AB2">
        <w:rPr>
          <w:rFonts w:ascii="仿宋" w:eastAsia="仿宋" w:hAnsi="仿宋" w:hint="eastAsia"/>
          <w:sz w:val="24"/>
          <w:szCs w:val="24"/>
        </w:rPr>
        <w:t>课上始终贯彻让学生感受到鉴定药材主要目的是区分其真</w:t>
      </w:r>
      <w:r w:rsidR="00C16FBF">
        <w:rPr>
          <w:rFonts w:ascii="仿宋" w:eastAsia="仿宋" w:hAnsi="仿宋" w:hint="eastAsia"/>
          <w:sz w:val="24"/>
          <w:szCs w:val="24"/>
        </w:rPr>
        <w:t>、</w:t>
      </w:r>
      <w:r w:rsidR="00A83AB2" w:rsidRPr="00A83AB2">
        <w:rPr>
          <w:rFonts w:ascii="仿宋" w:eastAsia="仿宋" w:hAnsi="仿宋" w:hint="eastAsia"/>
          <w:sz w:val="24"/>
          <w:szCs w:val="24"/>
        </w:rPr>
        <w:t>伪</w:t>
      </w:r>
      <w:r w:rsidR="00C16FBF">
        <w:rPr>
          <w:rFonts w:ascii="仿宋" w:eastAsia="仿宋" w:hAnsi="仿宋" w:hint="eastAsia"/>
          <w:sz w:val="24"/>
          <w:szCs w:val="24"/>
        </w:rPr>
        <w:t>、</w:t>
      </w:r>
      <w:r w:rsidR="00A83AB2" w:rsidRPr="00A83AB2">
        <w:rPr>
          <w:rFonts w:ascii="仿宋" w:eastAsia="仿宋" w:hAnsi="仿宋" w:hint="eastAsia"/>
          <w:sz w:val="24"/>
          <w:szCs w:val="24"/>
        </w:rPr>
        <w:t>优</w:t>
      </w:r>
      <w:r w:rsidR="00C16FBF">
        <w:rPr>
          <w:rFonts w:ascii="仿宋" w:eastAsia="仿宋" w:hAnsi="仿宋" w:hint="eastAsia"/>
          <w:sz w:val="24"/>
          <w:szCs w:val="24"/>
        </w:rPr>
        <w:t>、</w:t>
      </w:r>
      <w:r w:rsidR="00A83AB2" w:rsidRPr="00A83AB2">
        <w:rPr>
          <w:rFonts w:ascii="仿宋" w:eastAsia="仿宋" w:hAnsi="仿宋" w:hint="eastAsia"/>
          <w:sz w:val="24"/>
          <w:szCs w:val="24"/>
        </w:rPr>
        <w:t>劣，确保用药的安全及有效。用药材和图片及灵活的授课方式等激发学生学习该课程的热情。也传达热爱生活、积极努</w:t>
      </w:r>
      <w:bookmarkStart w:id="0" w:name="_GoBack"/>
      <w:bookmarkEnd w:id="0"/>
      <w:r w:rsidR="00A83AB2" w:rsidRPr="00A83AB2">
        <w:rPr>
          <w:rFonts w:ascii="仿宋" w:eastAsia="仿宋" w:hAnsi="仿宋" w:hint="eastAsia"/>
          <w:sz w:val="24"/>
          <w:szCs w:val="24"/>
        </w:rPr>
        <w:t>力的生活态度，影响他们、帮助他们树立正确的价值观和人生观。</w:t>
      </w:r>
      <w:r w:rsidR="0016398E">
        <w:rPr>
          <w:rFonts w:ascii="仿宋" w:eastAsia="仿宋" w:hAnsi="仿宋" w:hint="eastAsia"/>
          <w:sz w:val="24"/>
          <w:szCs w:val="24"/>
        </w:rPr>
        <w:t>同时树立学生们的专业自信与担当，传承和发扬光大中医药文化。中医药文化是我国的文化瑰宝，只有传承才能发扬，</w:t>
      </w:r>
      <w:proofErr w:type="gramStart"/>
      <w:r w:rsidR="0016398E"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 w:rsidR="0016398E">
        <w:rPr>
          <w:rFonts w:ascii="仿宋" w:eastAsia="仿宋" w:hAnsi="仿宋" w:hint="eastAsia"/>
          <w:sz w:val="24"/>
          <w:szCs w:val="24"/>
        </w:rPr>
        <w:t>可以更好地引领学生去传承。</w:t>
      </w:r>
    </w:p>
    <w:p w:rsidR="00C16FBF" w:rsidRPr="00A83AB2" w:rsidRDefault="00C16FBF" w:rsidP="0016398E">
      <w:pPr>
        <w:spacing w:line="300" w:lineRule="auto"/>
        <w:ind w:firstLineChars="100" w:firstLine="24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评价方式</w:t>
      </w:r>
      <w:r w:rsidR="00E93179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课后学生写</w:t>
      </w:r>
      <w:r w:rsidR="0016398E">
        <w:rPr>
          <w:rFonts w:ascii="仿宋" w:eastAsia="仿宋" w:hAnsi="仿宋" w:hint="eastAsia"/>
          <w:sz w:val="24"/>
          <w:szCs w:val="24"/>
        </w:rPr>
        <w:t>关于人参的“人”形等的感悟</w:t>
      </w:r>
      <w:r>
        <w:rPr>
          <w:rFonts w:ascii="仿宋" w:eastAsia="仿宋" w:hAnsi="仿宋" w:hint="eastAsia"/>
          <w:sz w:val="24"/>
          <w:szCs w:val="24"/>
        </w:rPr>
        <w:t>。</w:t>
      </w:r>
      <w:r w:rsidR="00E93179">
        <w:rPr>
          <w:rFonts w:ascii="仿宋" w:eastAsia="仿宋" w:hAnsi="仿宋" w:hint="eastAsia"/>
          <w:sz w:val="24"/>
          <w:szCs w:val="24"/>
        </w:rPr>
        <w:t>通过</w:t>
      </w:r>
      <w:r>
        <w:rPr>
          <w:rFonts w:ascii="仿宋" w:eastAsia="仿宋" w:hAnsi="仿宋" w:hint="eastAsia"/>
          <w:sz w:val="24"/>
          <w:szCs w:val="24"/>
        </w:rPr>
        <w:t>学生的真实感受，评价课堂效果。</w:t>
      </w:r>
      <w:r w:rsidR="00742BE5">
        <w:rPr>
          <w:rFonts w:ascii="仿宋" w:eastAsia="仿宋" w:hAnsi="仿宋" w:hint="eastAsia"/>
          <w:sz w:val="24"/>
          <w:szCs w:val="24"/>
        </w:rPr>
        <w:t>并</w:t>
      </w:r>
      <w:r w:rsidR="00E93179">
        <w:rPr>
          <w:rFonts w:ascii="仿宋" w:eastAsia="仿宋" w:hAnsi="仿宋" w:hint="eastAsia"/>
          <w:sz w:val="24"/>
          <w:szCs w:val="24"/>
        </w:rPr>
        <w:t>进行分析总结，进一步完善</w:t>
      </w:r>
      <w:r w:rsidR="00742BE5">
        <w:rPr>
          <w:rFonts w:ascii="仿宋" w:eastAsia="仿宋" w:hAnsi="仿宋" w:hint="eastAsia"/>
          <w:sz w:val="24"/>
          <w:szCs w:val="24"/>
        </w:rPr>
        <w:t>教学</w:t>
      </w:r>
      <w:r w:rsidR="00E93179">
        <w:rPr>
          <w:rFonts w:ascii="仿宋" w:eastAsia="仿宋" w:hAnsi="仿宋" w:hint="eastAsia"/>
          <w:sz w:val="24"/>
          <w:szCs w:val="24"/>
        </w:rPr>
        <w:t>。</w:t>
      </w:r>
    </w:p>
    <w:p w:rsidR="0016398E" w:rsidRDefault="00762237" w:rsidP="0016398E">
      <w:pPr>
        <w:spacing w:line="300" w:lineRule="auto"/>
        <w:rPr>
          <w:rFonts w:ascii="仿宋" w:eastAsia="仿宋" w:hAnsi="仿宋" w:hint="eastAsia"/>
          <w:b/>
          <w:szCs w:val="21"/>
        </w:rPr>
      </w:pPr>
      <w:r w:rsidRPr="0016398E">
        <w:rPr>
          <w:rFonts w:ascii="仿宋" w:eastAsia="仿宋" w:hAnsi="仿宋" w:hint="eastAsia"/>
          <w:b/>
          <w:szCs w:val="21"/>
        </w:rPr>
        <w:t>附：</w:t>
      </w:r>
    </w:p>
    <w:p w:rsidR="00C77133" w:rsidRPr="0016398E" w:rsidRDefault="00762237" w:rsidP="0016398E">
      <w:pPr>
        <w:spacing w:line="300" w:lineRule="auto"/>
        <w:ind w:firstLineChars="100" w:firstLine="211"/>
        <w:rPr>
          <w:rFonts w:hint="eastAsia"/>
          <w:b/>
        </w:rPr>
      </w:pPr>
      <w:r w:rsidRPr="0016398E">
        <w:rPr>
          <w:rFonts w:ascii="仿宋" w:eastAsia="仿宋" w:hAnsi="仿宋" w:hint="eastAsia"/>
          <w:b/>
          <w:szCs w:val="21"/>
        </w:rPr>
        <w:t>“课程思政”教学设计说明：</w:t>
      </w:r>
      <w:r w:rsidRPr="0016398E">
        <w:rPr>
          <w:rFonts w:ascii="仿宋" w:eastAsia="仿宋" w:hAnsi="仿宋" w:hint="eastAsia"/>
          <w:b/>
          <w:szCs w:val="21"/>
        </w:rPr>
        <w:t>是指专业教学中如何将专业知识点</w:t>
      </w:r>
      <w:proofErr w:type="gramStart"/>
      <w:r w:rsidRPr="0016398E">
        <w:rPr>
          <w:rFonts w:ascii="仿宋" w:eastAsia="仿宋" w:hAnsi="仿宋" w:hint="eastAsia"/>
          <w:b/>
          <w:szCs w:val="21"/>
        </w:rPr>
        <w:t>和思政元素</w:t>
      </w:r>
      <w:proofErr w:type="gramEnd"/>
      <w:r w:rsidRPr="0016398E">
        <w:rPr>
          <w:rFonts w:ascii="仿宋" w:eastAsia="仿宋" w:hAnsi="仿宋" w:hint="eastAsia"/>
          <w:b/>
          <w:szCs w:val="21"/>
        </w:rPr>
        <w:t>结合起来的一篇说明。附件说明是</w:t>
      </w:r>
      <w:proofErr w:type="gramStart"/>
      <w:r w:rsidRPr="0016398E">
        <w:rPr>
          <w:rFonts w:ascii="仿宋" w:eastAsia="仿宋" w:hAnsi="仿宋" w:hint="eastAsia"/>
          <w:b/>
          <w:szCs w:val="21"/>
        </w:rPr>
        <w:t>课程思政</w:t>
      </w:r>
      <w:r w:rsidRPr="0016398E">
        <w:rPr>
          <w:rFonts w:ascii="仿宋" w:eastAsia="仿宋" w:hAnsi="仿宋" w:hint="eastAsia"/>
          <w:b/>
          <w:szCs w:val="21"/>
        </w:rPr>
        <w:t>教案</w:t>
      </w:r>
      <w:proofErr w:type="gramEnd"/>
      <w:r w:rsidRPr="0016398E">
        <w:rPr>
          <w:rFonts w:ascii="仿宋" w:eastAsia="仿宋" w:hAnsi="仿宋" w:hint="eastAsia"/>
          <w:b/>
          <w:szCs w:val="21"/>
        </w:rPr>
        <w:t>设计的必要组成部分，文字500-800</w:t>
      </w:r>
      <w:r w:rsidRPr="0016398E">
        <w:rPr>
          <w:rFonts w:ascii="仿宋" w:eastAsia="仿宋" w:hAnsi="仿宋"/>
          <w:b/>
          <w:szCs w:val="21"/>
        </w:rPr>
        <w:t>字</w:t>
      </w:r>
      <w:r w:rsidRPr="0016398E">
        <w:rPr>
          <w:rFonts w:ascii="仿宋" w:eastAsia="仿宋" w:hAnsi="仿宋" w:hint="eastAsia"/>
          <w:b/>
          <w:szCs w:val="21"/>
        </w:rPr>
        <w:t>。</w:t>
      </w:r>
    </w:p>
    <w:sectPr w:rsidR="00C77133" w:rsidRPr="0016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D8"/>
    <w:rsid w:val="0016398E"/>
    <w:rsid w:val="003F399B"/>
    <w:rsid w:val="005824EA"/>
    <w:rsid w:val="00742BE5"/>
    <w:rsid w:val="00762237"/>
    <w:rsid w:val="007A5D54"/>
    <w:rsid w:val="00A81ADE"/>
    <w:rsid w:val="00A83AB2"/>
    <w:rsid w:val="00BA1ED8"/>
    <w:rsid w:val="00BC057D"/>
    <w:rsid w:val="00C16FBF"/>
    <w:rsid w:val="00C75566"/>
    <w:rsid w:val="00C77133"/>
    <w:rsid w:val="00C963FD"/>
    <w:rsid w:val="00DB7122"/>
    <w:rsid w:val="00DF094F"/>
    <w:rsid w:val="00E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2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2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2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2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</Words>
  <Characters>728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5</cp:revision>
  <dcterms:created xsi:type="dcterms:W3CDTF">2020-10-13T02:47:00Z</dcterms:created>
  <dcterms:modified xsi:type="dcterms:W3CDTF">2020-10-13T04:27:00Z</dcterms:modified>
</cp:coreProperties>
</file>